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Что делать, если в налоговом уведомлении некорректная информация? </w:t>
      </w:r>
    </w:p>
    <w:p w14:paraId="0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налогооблагаемом имуществе и его владельце (включая характеристики имущества, налоговую базу, правообладателя, период владения) в налоговые органы представляют органы МВД России, осуществляющие регистрацию (миграционный учет) физических лиц по месту жительства (месту пребывания), органы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, осуществляющие кадастровый учет и государственную регистрацию прав на недвижимое имущество,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"consultantplus://offline/ref=6F8C3403CE59A5220BDB708F4EC1B517ED98CA8C42A3A953BB47467636620EBA398848729E65824AP971J"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органы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МВД России, МЧС России, </w:t>
      </w:r>
      <w:r>
        <w:rPr>
          <w:rFonts w:ascii="Times New Roman" w:hAnsi="Times New Roman"/>
          <w:sz w:val="28"/>
        </w:rPr>
        <w:t>Росавиации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Росморречфлота</w:t>
      </w:r>
      <w:r>
        <w:rPr>
          <w:rFonts w:ascii="Times New Roman" w:hAnsi="Times New Roman"/>
          <w:sz w:val="28"/>
        </w:rPr>
        <w:t xml:space="preserve">, органы </w:t>
      </w:r>
      <w:r>
        <w:rPr>
          <w:rFonts w:ascii="Times New Roman" w:hAnsi="Times New Roman"/>
          <w:sz w:val="28"/>
        </w:rPr>
        <w:t>гостехнадзора</w:t>
      </w:r>
      <w:r>
        <w:rPr>
          <w:rFonts w:ascii="Times New Roman" w:hAnsi="Times New Roman"/>
          <w:sz w:val="28"/>
        </w:rPr>
        <w:t>, осуществляющие регистрацию транспортных средств, органы (учреждения</w:t>
      </w:r>
      <w:r>
        <w:rPr>
          <w:rFonts w:ascii="Times New Roman" w:hAnsi="Times New Roman"/>
          <w:sz w:val="28"/>
        </w:rPr>
        <w:t>), уполномоченные совершать нотариальные действия, и нотариусы, органы МВД России, осуществляющие выдачу и замену документов, удостоверяющих личность гражданина Российской Федерации и т.п.</w:t>
      </w:r>
    </w:p>
    <w:p w14:paraId="0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Ответственность за достоверность, полноту и актуальность указанных сведений, используемых в целях налогообложения имущества, несут вышеперечисленные регистрирующие органы. Указанные органы представляют информацию в налоговую службу на основании имеющихся в их информационных ресурсах (реестрах, кадастрах, регистрах и т.п.) сведений.</w:t>
      </w:r>
    </w:p>
    <w:p w14:paraId="0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</w:t>
      </w:r>
    </w:p>
    <w:p w14:paraId="0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для пользователей личного кабинета налогоплательщика – через этот сервис на сайте ФНС России;</w:t>
      </w:r>
    </w:p>
    <w:p w14:paraId="0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для иных лиц: посредством личного обращения в любой налоговый орган либо путём направления почтового сообщения, или с использованием </w:t>
      </w:r>
      <w:r>
        <w:rPr>
          <w:rFonts w:ascii="Times New Roman" w:hAnsi="Times New Roman"/>
          <w:sz w:val="28"/>
        </w:rPr>
        <w:t>интернет-сервиса</w:t>
      </w:r>
      <w:r>
        <w:rPr>
          <w:rFonts w:ascii="Times New Roman" w:hAnsi="Times New Roman"/>
          <w:sz w:val="28"/>
        </w:rPr>
        <w:t xml:space="preserve"> ФНС России «Обратиться в ФНС России». </w:t>
      </w:r>
    </w:p>
    <w:p w14:paraId="0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 и изменения налогового уведомления (направление запроса в регистрирующие органы, проверка информации о наличии налоговой льготы, определение даты начала применения актуальной налоговой базы и т.п.), обработка полученных </w:t>
      </w:r>
      <w:r>
        <w:rPr>
          <w:rFonts w:ascii="Times New Roman" w:hAnsi="Times New Roman"/>
          <w:sz w:val="28"/>
        </w:rPr>
        <w:t>сведений и внесение необходимых изменений в информационные ресурсы (базы данных, карточки расчетов с бюджетом</w:t>
      </w:r>
      <w:r>
        <w:rPr>
          <w:rFonts w:ascii="Times New Roman" w:hAnsi="Times New Roman"/>
          <w:sz w:val="28"/>
        </w:rPr>
        <w:t xml:space="preserve"> и т.п.). </w:t>
      </w:r>
    </w:p>
    <w:p w14:paraId="0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наличии оснований для перерасчета налога и формирования нового налогового уведомления налоговый орган не позднее 30 дней (в исключительных случаях указанный срок может быть продлен не более чем на 30 дней): пересмотрит ранее начисленную сумму налога, сформирует (при наличии оснований) новое налоговое уведомление с указанием нового срока уплаты налога и направит ответ на обращение налогоплательщика (разместит его в личном кабинете</w:t>
      </w:r>
      <w:r>
        <w:rPr>
          <w:rFonts w:ascii="Times New Roman" w:hAnsi="Times New Roman"/>
          <w:sz w:val="28"/>
        </w:rPr>
        <w:t xml:space="preserve"> налогоплательщика). </w:t>
      </w:r>
    </w:p>
    <w:p w14:paraId="0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Дополнительную информацию можно получить по телефону налогового органа или </w:t>
      </w:r>
      <w:r>
        <w:rPr>
          <w:rFonts w:ascii="Times New Roman" w:hAnsi="Times New Roman"/>
          <w:sz w:val="28"/>
        </w:rPr>
        <w:t>контакт-центра</w:t>
      </w:r>
      <w:r>
        <w:rPr>
          <w:rFonts w:ascii="Times New Roman" w:hAnsi="Times New Roman"/>
          <w:sz w:val="28"/>
        </w:rPr>
        <w:t xml:space="preserve"> ФНС России: 8 800 – 222-22-22.</w:t>
      </w:r>
    </w:p>
    <w:p w14:paraId="0A000000"/>
    <w:p w14:paraId="0B000000"/>
    <w:p w14:paraId="0C000000"/>
    <w:p w14:paraId="0D000000"/>
    <w:p w14:paraId="0E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Что делать, если налоговое уведомление не получено? </w:t>
      </w:r>
    </w:p>
    <w:p w14:paraId="0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Налоговые уведомления владельцам налогооблагаемых объектов недвижимости и транспортных средств направляются налоговыми органами (размещаются в личном кабинете налогоплательщика, личном кабинете на едином портале государственных и муниципальных услуг, далее – ЕПГУ) не позднее 30 дней до наступления срока уплаты налогов – не позднее 1 декабря года, следующего за истекшим налоговым периодом, за который уплачиваются налоги.</w:t>
      </w:r>
    </w:p>
    <w:p w14:paraId="1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налоговые уведомления, по общему правилу, не направляются по почте заказными письмами на бумажном носителе в следующих случаях: </w:t>
      </w:r>
    </w:p>
    <w:p w14:paraId="1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14:paraId="1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если общая сумма налогов, отражаемых в налоговом уведомлении,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налогового уведомления</w:t>
      </w:r>
      <w:r>
        <w:rPr>
          <w:rFonts w:ascii="Times New Roman" w:hAnsi="Times New Roman"/>
          <w:sz w:val="28"/>
        </w:rPr>
        <w:t xml:space="preserve">; </w:t>
      </w:r>
    </w:p>
    <w:p w14:paraId="1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налогоплательщик является пользователем </w:t>
      </w:r>
      <w:r>
        <w:rPr>
          <w:rFonts w:ascii="Times New Roman" w:hAnsi="Times New Roman"/>
          <w:sz w:val="28"/>
        </w:rPr>
        <w:t>интернет-сервиса</w:t>
      </w:r>
      <w:r>
        <w:rPr>
          <w:rFonts w:ascii="Times New Roman" w:hAnsi="Times New Roman"/>
          <w:sz w:val="28"/>
        </w:rPr>
        <w:t xml:space="preserve"> ФНС России – личный кабинет налогоплательщика;</w:t>
      </w:r>
    </w:p>
    <w:p w14:paraId="1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налогоплательщик направил в налоговый орган уведомление о необходимости получения документов от налоговых органов в электронной форме через личный кабинет на ЕПГУ.</w:t>
      </w:r>
    </w:p>
    <w:p w14:paraId="1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иных случаях при неполучении до 1 ноября налогового уведомления за период владения </w:t>
      </w:r>
      <w:r>
        <w:rPr>
          <w:rFonts w:ascii="Times New Roman" w:hAnsi="Times New Roman"/>
          <w:sz w:val="28"/>
        </w:rPr>
        <w:t>налогооблагаемыми</w:t>
      </w:r>
      <w:r>
        <w:rPr>
          <w:rFonts w:ascii="Times New Roman" w:hAnsi="Times New Roman"/>
          <w:sz w:val="28"/>
        </w:rPr>
        <w:t xml:space="preserve"> недвижимостью или транспортным средством, налогоплательщику целесообразно обратиться в налоговый орган либо направить информацию через личный кабинет налогоплательщика или с использованием интернет-сервиса ФНС России «Обратиться в ФНС России».</w:t>
      </w:r>
    </w:p>
    <w:p w14:paraId="1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Владельцы недвижимости или транспортных средств, которые не получали налоговые уведомления за какой-либо налоговый период и не заявляли налоговые льготы в отношении налогооблагаемого имущества,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"https://www.nalog.ru/rn77/fl/interest/imuch_mes/"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обязаны сообщать о наличии у них данных объектов в любой налоговый </w:t>
      </w:r>
      <w:r>
        <w:rPr>
          <w:rFonts w:ascii="Times New Roman" w:hAnsi="Times New Roman"/>
          <w:sz w:val="28"/>
        </w:rPr>
        <w:t>орган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(форма сообщения утверждена приказом ФНС России от 23.12.2022 № ЕД-7-21/1250@).</w:t>
      </w:r>
    </w:p>
    <w:p w14:paraId="17000000">
      <w:pPr>
        <w:rPr>
          <w:rFonts w:ascii="Times New Roman" w:hAnsi="Times New Roman"/>
        </w:rPr>
      </w:pPr>
    </w:p>
    <w:p w14:paraId="18000000"/>
    <w:p w14:paraId="19000000"/>
    <w:p w14:paraId="1A000000"/>
    <w:p w14:paraId="1B000000"/>
    <w:p w14:paraId="1C000000"/>
    <w:p w14:paraId="1D000000"/>
    <w:p w14:paraId="1E000000"/>
    <w:p w14:paraId="1F000000"/>
    <w:p w14:paraId="20000000"/>
    <w:p w14:paraId="21000000"/>
    <w:p w14:paraId="22000000"/>
    <w:p w14:paraId="23000000"/>
    <w:p w14:paraId="24000000"/>
    <w:p w14:paraId="25000000"/>
    <w:p w14:paraId="26000000"/>
    <w:p w14:paraId="27000000"/>
    <w:p w14:paraId="28000000"/>
    <w:p w14:paraId="29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Основные изменения в налогообложении имущества физических лиц </w:t>
      </w:r>
    </w:p>
    <w:p w14:paraId="2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Налоговые уведомления, направленные в 2024 г., содержат расчет налогов на имущество физических лиц за налоговый период 2023 года </w:t>
      </w:r>
      <w:r>
        <w:rPr>
          <w:rFonts w:ascii="Times New Roman" w:hAnsi="Times New Roman"/>
          <w:b w:val="1"/>
          <w:sz w:val="28"/>
        </w:rPr>
        <w:t>(за исключением Донецкой Народной Республики, Луганской Народной Республики, Запорожской области и Херсонской области, в которых налоги на имущество физических лиц на налоговый период 2023 года не введены)</w:t>
      </w:r>
      <w:r>
        <w:rPr>
          <w:rFonts w:ascii="Times New Roman" w:hAnsi="Times New Roman"/>
          <w:sz w:val="28"/>
        </w:rPr>
        <w:t xml:space="preserve">. </w:t>
      </w:r>
    </w:p>
    <w:p w14:paraId="2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 по сравнению с предыдущим налоговым периодом произошли следующие основные изменения.</w:t>
      </w:r>
    </w:p>
    <w:p w14:paraId="2C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Транспортный налог </w:t>
      </w:r>
    </w:p>
    <w:p w14:paraId="2D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 расчете налога применен сформированный </w:t>
      </w:r>
      <w:r>
        <w:rPr>
          <w:rFonts w:ascii="Times New Roman" w:hAnsi="Times New Roman"/>
          <w:sz w:val="28"/>
        </w:rPr>
        <w:t>Минпромторгом</w:t>
      </w:r>
      <w:r>
        <w:rPr>
          <w:rFonts w:ascii="Times New Roman" w:hAnsi="Times New Roman"/>
          <w:sz w:val="28"/>
        </w:rPr>
        <w:t xml:space="preserve"> России Перечень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"https://minpromtorg.gov.ru/docs/list/?pdfModa1ID=66d31fb1-06db-4b83-8e4c-36042fed9b80&amp;fileModa1ID=d15b8fe2-4a36-459a-b316-2b001b5c1a18"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https://minpromtorg.gov.ru/docs/list/?pdfModa1ID=66d31fb1-06db-4b83-8e4c-36042fed9b80&amp;fileModa1ID=d15b8fe2-4a36-459a-b316-2b001b5c1a18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легковых автомобилей средней стоимостью от 10 </w:t>
      </w:r>
      <w:r>
        <w:rPr>
          <w:rFonts w:ascii="Times New Roman" w:hAnsi="Times New Roman"/>
          <w:sz w:val="28"/>
        </w:rPr>
        <w:t>млн</w:t>
      </w:r>
      <w:r>
        <w:rPr>
          <w:rFonts w:ascii="Times New Roman" w:hAnsi="Times New Roman"/>
          <w:sz w:val="28"/>
        </w:rPr>
        <w:t xml:space="preserve"> руб. за 2023 год, размещенный на официальном сайте </w:t>
      </w:r>
      <w:r>
        <w:rPr>
          <w:rFonts w:ascii="Times New Roman" w:hAnsi="Times New Roman"/>
          <w:sz w:val="28"/>
        </w:rPr>
        <w:t>Минпромторга</w:t>
      </w:r>
      <w:r>
        <w:rPr>
          <w:rFonts w:ascii="Times New Roman" w:hAnsi="Times New Roman"/>
          <w:sz w:val="28"/>
        </w:rPr>
        <w:t xml:space="preserve"> России (для налогообложения с применением повышающего коэффициента 3 используются позиции Перечня для легковых автомобилей средней стоимостью от 10 млн. до 15 млн. рублей, с года выпуска которых прошло не более 10 лет, и средней стоимостью от 15 млн. рублей, с года выпуска которых прошло не более 20 лет); </w:t>
      </w:r>
    </w:p>
    <w:p w14:paraId="2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). </w:t>
      </w:r>
    </w:p>
    <w:p w14:paraId="2F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Земельный налог </w:t>
      </w:r>
    </w:p>
    <w:p w14:paraId="3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); </w:t>
      </w:r>
    </w:p>
    <w:p w14:paraId="3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применены ограничения роста налоговой базы в соответствии с пунктом 18 статьи 2 Федерального закона от 26.03.2022 № 67-ФЗ «О </w:t>
      </w:r>
      <w:r>
        <w:rPr>
          <w:rFonts w:ascii="Times New Roman" w:hAnsi="Times New Roman"/>
          <w:sz w:val="28"/>
        </w:rPr>
        <w:t xml:space="preserve">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Федерации». </w:t>
      </w:r>
      <w:r>
        <w:rPr>
          <w:rFonts w:ascii="Times New Roman" w:hAnsi="Times New Roman"/>
          <w:sz w:val="28"/>
        </w:rPr>
        <w:t xml:space="preserve">В частности, в случае увеличения кадастровой стоимости земельного участка на 01.01.2023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>. в результате проведения в 2022 г. нового тура государственной кадастровой оценки земель и утверждения его результатов) для расчета налога за налоговый период 2023 года применена кадастровая стоимость земельного участка, внесенная в Единый государственный реестр недвижимости по состоянию на 01.01.2022, за исключением случаев, если кадастровая стоимость земельного</w:t>
      </w:r>
      <w:r>
        <w:rPr>
          <w:rFonts w:ascii="Times New Roman" w:hAnsi="Times New Roman"/>
          <w:sz w:val="28"/>
        </w:rPr>
        <w:t xml:space="preserve"> участка увеличилась вследствие изменения его характеристик.</w:t>
      </w:r>
    </w:p>
    <w:p w14:paraId="3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информацией о кадастровой стоимости земельного участка можно ознакомиться, получив выписку из Единого государственного реестра недвижимости в МФЦ или на официальном сайте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. </w:t>
      </w:r>
    </w:p>
    <w:p w14:paraId="33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Налог на имущество физических лиц  </w:t>
      </w:r>
    </w:p>
    <w:p w14:paraId="3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для расчета налога за налоговый период 2023 года применена кадастровая стоимость объектов недвижимости, при этом для исчисления налога использованы коэффициенты: </w:t>
      </w:r>
    </w:p>
    <w:p w14:paraId="3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10-типроцентного ограничения роста налога по сравнению с предшествующим налоговым периодом – для регионов,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"consultantplus://offline/ref=9A13DDD4F5949782ABCC7F471EBAA0DBD36BC9A260528B02D0162870BECD6B1D85164060D1454186A700C56DB049752E2E5FDCF0DDC33DACJ"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п. 7 ст. 378.2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а также объектов,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"consultantplus://offline/ref=9A13DDD4F5949782ABCC7F471EBAA0DBD36BC9A260528B02D0162870BECD6B1D85164060D4424C86A700C56DB049752E2E5FDCF0DDC33DACJ"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</w:t>
      </w:r>
      <w:r>
        <w:rPr>
          <w:rFonts w:ascii="Times New Roman" w:hAnsi="Times New Roman"/>
          <w:sz w:val="28"/>
        </w:rPr>
        <w:t>. 2 п. 10 ст. 378.2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кроме гаражей и 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>-мест, расположенных в таких объектах</w:t>
      </w:r>
      <w:r>
        <w:rPr>
          <w:rFonts w:ascii="Times New Roman" w:hAnsi="Times New Roman"/>
          <w:sz w:val="28"/>
        </w:rPr>
        <w:t xml:space="preserve"> налогообложения); </w:t>
      </w:r>
    </w:p>
    <w:p w14:paraId="3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–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"consultantplus://offline/ref=9A13DDD4F5949782ABCC7F471EBAA0DBD36BC9A260528B02D0162870BECD6B1D85164060D1454186A700C56DB049752E2E5FDCF0DDC33DACJ"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п. 7 ст. 378.2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а также объектов</w:t>
      </w:r>
      <w:r>
        <w:rPr>
          <w:rFonts w:ascii="Times New Roman" w:hAnsi="Times New Roman"/>
          <w:sz w:val="28"/>
        </w:rPr>
        <w:t xml:space="preserve">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"consultantplus://offline/ref=9A13DDD4F5949782ABCC7F471EBAA0DBD36BC9A260528B02D0162870BECD6B1D85164060D4424C86A700C56DB049752E2E5FDCF0DDC33DACJ"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абз</w:t>
      </w:r>
      <w:r>
        <w:rPr>
          <w:rFonts w:ascii="Times New Roman" w:hAnsi="Times New Roman"/>
          <w:sz w:val="28"/>
        </w:rPr>
        <w:t>. 2 п. 10 ст. 378.2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кроме гаражей и 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>-мест, расположенных в таких объектах налогообложения);</w:t>
      </w:r>
    </w:p>
    <w:p w14:paraId="3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0.6 (в 2023 году был 0.4) – для г. </w:t>
      </w:r>
      <w:r>
        <w:rPr>
          <w:rFonts w:ascii="Times New Roman" w:hAnsi="Times New Roman"/>
          <w:sz w:val="28"/>
        </w:rPr>
        <w:t>Севастополя</w:t>
      </w:r>
      <w:r>
        <w:rPr>
          <w:rFonts w:ascii="Times New Roman" w:hAnsi="Times New Roman"/>
          <w:sz w:val="28"/>
        </w:rPr>
        <w:t xml:space="preserve"> где кадастровая стоимость применяется в качестве налоговой базы третий год;</w:t>
      </w:r>
    </w:p>
    <w:p w14:paraId="3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3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</w:t>
      </w:r>
    </w:p>
    <w:p w14:paraId="3A000000"/>
    <w:p w14:paraId="3B000000"/>
    <w:p w14:paraId="3C000000"/>
    <w:p w14:paraId="3D000000"/>
    <w:p w14:paraId="3E000000"/>
    <w:p w14:paraId="3F000000"/>
    <w:p w14:paraId="40000000"/>
    <w:p w14:paraId="41000000"/>
    <w:p w14:paraId="42000000"/>
    <w:p w14:paraId="43000000"/>
    <w:p w14:paraId="44000000"/>
    <w:p w14:paraId="45000000"/>
    <w:p w14:paraId="46000000"/>
    <w:p w14:paraId="47000000"/>
    <w:p w14:paraId="48000000"/>
    <w:p w14:paraId="49000000"/>
    <w:p w14:paraId="4A000000"/>
    <w:p w14:paraId="4B000000"/>
    <w:p w14:paraId="4C000000"/>
    <w:p w14:paraId="4D000000"/>
    <w:p w14:paraId="4E000000"/>
    <w:p w14:paraId="4F000000"/>
    <w:p w14:paraId="50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Как воспользоваться льготой, неучтенной в налоговом уведомлении? </w:t>
      </w:r>
    </w:p>
    <w:p w14:paraId="5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1.</w:t>
      </w:r>
      <w:r>
        <w:rPr>
          <w:rFonts w:ascii="Times New Roman" w:hAnsi="Times New Roman"/>
          <w:sz w:val="28"/>
        </w:rPr>
        <w:t xml:space="preserve">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14:paraId="5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2.</w:t>
      </w:r>
      <w:r>
        <w:rPr>
          <w:rFonts w:ascii="Times New Roman" w:hAnsi="Times New Roman"/>
          <w:sz w:val="28"/>
        </w:rPr>
        <w:t xml:space="preserve">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 </w:t>
      </w:r>
    </w:p>
    <w:p w14:paraId="53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Транспортный налог </w:t>
      </w:r>
    </w:p>
    <w:p w14:paraId="5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Освобождение от уплаты 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r>
        <w:rPr>
          <w:rFonts w:ascii="Times New Roman" w:hAnsi="Times New Roman"/>
          <w:sz w:val="28"/>
        </w:rPr>
        <w:t>т.ч</w:t>
      </w:r>
      <w:r>
        <w:rPr>
          <w:rFonts w:ascii="Times New Roman" w:hAnsi="Times New Roman"/>
          <w:sz w:val="28"/>
        </w:rPr>
        <w:t xml:space="preserve"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 территории «Сириус». </w:t>
      </w:r>
    </w:p>
    <w:p w14:paraId="5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 либо обратившись в налоговые инспекции или в контакт-центр ФНС России (тел. 8 800 – 222-22-22). </w:t>
      </w:r>
    </w:p>
    <w:p w14:paraId="56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Земельный налог </w:t>
      </w:r>
    </w:p>
    <w:p w14:paraId="5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r>
        <w:rPr>
          <w:rFonts w:ascii="Times New Roman" w:hAnsi="Times New Roman"/>
          <w:sz w:val="28"/>
        </w:rPr>
        <w:t>предпенсионеры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инвалиды I и II групп; инвалиды с детства; ветераны Великой Отечественной войны и боевых действий; многодетные; другие категории граждан, указанные в п. 5</w:t>
      </w:r>
      <w:r>
        <w:rPr>
          <w:rFonts w:ascii="Times New Roman" w:hAnsi="Times New Roman"/>
          <w:sz w:val="28"/>
        </w:rPr>
        <w:t xml:space="preserve"> ст. 391 НК РФ. </w:t>
      </w:r>
    </w:p>
    <w:p w14:paraId="58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14:paraId="5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 либо обратившись в налоговые инспекции или в контакт-центр ФНС России (тел. 8 800 – 222-22-22).</w:t>
      </w:r>
    </w:p>
    <w:p w14:paraId="5A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5B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Налог на имущество физических лиц  </w:t>
      </w:r>
    </w:p>
    <w:p w14:paraId="5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Льготы для 16-категорий налогоплательщиков (пенсионеры, </w:t>
      </w:r>
      <w:r>
        <w:rPr>
          <w:rFonts w:ascii="Times New Roman" w:hAnsi="Times New Roman"/>
          <w:sz w:val="28"/>
        </w:rPr>
        <w:t>предпенсионеры</w:t>
      </w:r>
      <w:r>
        <w:rPr>
          <w:rFonts w:ascii="Times New Roman" w:hAnsi="Times New Roman"/>
          <w:sz w:val="28"/>
        </w:rPr>
        <w:t xml:space="preserve">, инвалиды, ветераны, военнослужащие, владельцы </w:t>
      </w:r>
      <w:r>
        <w:rPr>
          <w:rFonts w:ascii="Times New Roman" w:hAnsi="Times New Roman"/>
          <w:sz w:val="28"/>
        </w:rPr>
        <w:t>хозстроений</w:t>
      </w:r>
      <w:r>
        <w:rPr>
          <w:rFonts w:ascii="Times New Roman" w:hAnsi="Times New Roman"/>
          <w:sz w:val="28"/>
        </w:rPr>
        <w:t xml:space="preserve"> до 50 </w:t>
      </w:r>
      <w:r>
        <w:rPr>
          <w:rFonts w:ascii="Times New Roman" w:hAnsi="Times New Roman"/>
          <w:sz w:val="28"/>
        </w:rPr>
        <w:t>кв</w:t>
      </w:r>
      <w:r>
        <w:rPr>
          <w:rFonts w:ascii="Times New Roman" w:hAnsi="Times New Roman"/>
          <w:sz w:val="28"/>
        </w:rPr>
        <w:t>.м</w:t>
      </w:r>
      <w:r>
        <w:rPr>
          <w:rFonts w:ascii="Times New Roman" w:hAnsi="Times New Roman"/>
          <w:sz w:val="28"/>
        </w:rPr>
        <w:t xml:space="preserve"> и т.п.) предусмотрены ст. 407 НК РФ. Льгота предоставляется в размере подлежащей уплате суммы налога в отношении объекта, не используемого в предпринимательской деятельности. </w:t>
      </w:r>
      <w:r>
        <w:rPr>
          <w:rFonts w:ascii="Times New Roman" w:hAnsi="Times New Roman"/>
          <w:sz w:val="28"/>
        </w:rPr>
        <w:t xml:space="preserve">Льгота освобождает от уплаты налога в отношении одного объекта каждого вида с максимально исчисленной суммой налога: 1) квартира или комната; 2) жилой дом; 3) помещение или сооружение,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"consultantplus://offline/ref=697DE8A3430C0BCBCAD69872580B1B75689B1F6C3FC35CD82AD13AB7DC362D43E4BC14749D0C20o7W2L"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14 пункта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407 НК РФ; 4) хозяйственное строение или сооружение, указанные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"consultantplus://offline/ref=697DE8A3430C0BCBCAD69872580B1B75689B1F6C3FC35CD82AD13AB7DC362D43E4BC14749D0C20o7W3L"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подпункте 15 пункта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407 НК РФ;</w:t>
      </w:r>
      <w:r>
        <w:rPr>
          <w:rFonts w:ascii="Times New Roman" w:hAnsi="Times New Roman"/>
          <w:sz w:val="28"/>
        </w:rPr>
        <w:t xml:space="preserve"> 5) гараж или </w:t>
      </w:r>
      <w:r>
        <w:rPr>
          <w:rFonts w:ascii="Times New Roman" w:hAnsi="Times New Roman"/>
          <w:sz w:val="28"/>
        </w:rPr>
        <w:t>машино</w:t>
      </w:r>
      <w:r>
        <w:rPr>
          <w:rFonts w:ascii="Times New Roman" w:hAnsi="Times New Roman"/>
          <w:sz w:val="28"/>
        </w:rPr>
        <w:t xml:space="preserve">-место. </w:t>
      </w:r>
    </w:p>
    <w:p w14:paraId="5D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налоговая льготы в соответствии с пунктом 1 статьи 407 НК РФ не предоставляется в отношении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"https://login.consultant.ru/link/?req=doc&amp;base=LAW&amp;n=396191&amp;dst=100020"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объектов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налогообложения, включенных в перечень, определяемый в соответствии с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"https://login.consultant.ru/link/?req=doc&amp;base=LAW&amp;n=463356&amp;dst=9219"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пунктом 7 статьи 378.2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в отношении объектов налогообложения, предусмотренных 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"https://login.consultant.ru/link/?req=doc&amp;base=LAW&amp;n=463356&amp;dst=9764"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абзацем вторым пункта 10 статьи 378.2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НК РФ, а также в отношении объектов налогообложения, кадастровая стоимость каждого из которых превышает 300 миллионов рублей.</w:t>
      </w:r>
    </w:p>
    <w:p w14:paraId="5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</w:p>
    <w:p w14:paraId="5F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налоговых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), либо обратившись в налоговые инспекции или в контакт-центр ФНС России (тел. 8 800 – 222-22-22).</w:t>
      </w:r>
    </w:p>
    <w:p w14:paraId="6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3.</w:t>
      </w:r>
      <w:r>
        <w:rPr>
          <w:rFonts w:ascii="Times New Roman" w:hAnsi="Times New Roman"/>
          <w:sz w:val="28"/>
        </w:rPr>
        <w:t xml:space="preserve"> Убедившись, что налогоплательщик относиться к категориям лиц, имеющим право на налоговую льготу, но налоговая льгота не учтена в </w:t>
      </w:r>
      <w:r>
        <w:rPr>
          <w:rFonts w:ascii="Times New Roman" w:hAnsi="Times New Roman"/>
          <w:sz w:val="28"/>
        </w:rPr>
        <w:t>налоговом уведомлении, рекомендуется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</w:t>
      </w:r>
    </w:p>
    <w:p w14:paraId="61000000">
      <w:r>
        <w:rPr>
          <w:rFonts w:ascii="Times New Roman" w:hAnsi="Times New Roman"/>
          <w:sz w:val="28"/>
        </w:rPr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z w:val="28"/>
        </w:rPr>
        <w:t xml:space="preserve"> уполномоченный МФЦ. </w:t>
      </w:r>
    </w:p>
    <w:p w14:paraId="62000000"/>
    <w:p w14:paraId="63000000"/>
    <w:p w14:paraId="64000000"/>
    <w:p w14:paraId="65000000"/>
    <w:p w14:paraId="66000000"/>
    <w:p w14:paraId="67000000"/>
    <w:p w14:paraId="68000000"/>
    <w:p w14:paraId="69000000"/>
    <w:p w14:paraId="6A000000"/>
    <w:p w14:paraId="6B000000"/>
    <w:p w14:paraId="6C000000"/>
    <w:p w14:paraId="6D000000"/>
    <w:p w14:paraId="6E000000"/>
    <w:p w14:paraId="6F000000"/>
    <w:p w14:paraId="70000000"/>
    <w:p w14:paraId="71000000"/>
    <w:p w14:paraId="72000000"/>
    <w:p w14:paraId="73000000"/>
    <w:p w14:paraId="74000000"/>
    <w:p w14:paraId="75000000"/>
    <w:p w14:paraId="76000000"/>
    <w:p w14:paraId="77000000"/>
    <w:p w14:paraId="78000000"/>
    <w:p w14:paraId="79000000"/>
    <w:p w14:paraId="7A000000"/>
    <w:p w14:paraId="7B000000"/>
    <w:p w14:paraId="7C000000"/>
    <w:p w14:paraId="7D000000"/>
    <w:p w14:paraId="7E000000"/>
    <w:p w14:paraId="7F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Как проверить налоговые ставки и льготы, указанные в налоговом уведомлении? </w:t>
      </w:r>
    </w:p>
    <w:p w14:paraId="80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Налоговые ставки и льготы устанавливаются нормативными правовыми актами различного уровня: </w:t>
      </w:r>
    </w:p>
    <w:p w14:paraId="8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14:paraId="8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14:paraId="83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 либо обратившись в налоговые органы или в контакт-центр ФНС России (тел. 8 800 – 222-22-22).</w:t>
      </w:r>
    </w:p>
    <w:p w14:paraId="84000000"/>
    <w:p w14:paraId="85000000"/>
    <w:p w14:paraId="86000000"/>
    <w:p w14:paraId="87000000"/>
    <w:p w14:paraId="88000000">
      <w:pPr>
        <w:ind w:firstLine="708" w:left="0"/>
        <w:jc w:val="both"/>
        <w:rPr>
          <w:b w:val="1"/>
          <w:sz w:val="28"/>
          <w:u w:val="single"/>
        </w:rPr>
      </w:pPr>
    </w:p>
    <w:p w14:paraId="89000000">
      <w:pPr>
        <w:ind w:firstLine="708" w:left="0"/>
        <w:jc w:val="both"/>
        <w:rPr>
          <w:b w:val="1"/>
          <w:sz w:val="28"/>
          <w:u w:val="single"/>
        </w:rPr>
      </w:pPr>
    </w:p>
    <w:p w14:paraId="8A000000">
      <w:pPr>
        <w:ind w:firstLine="708" w:left="0"/>
        <w:jc w:val="both"/>
        <w:rPr>
          <w:b w:val="1"/>
          <w:sz w:val="28"/>
          <w:u w:val="single"/>
        </w:rPr>
      </w:pPr>
    </w:p>
    <w:p w14:paraId="8B000000">
      <w:pPr>
        <w:ind w:firstLine="708" w:left="0"/>
        <w:jc w:val="both"/>
        <w:rPr>
          <w:b w:val="1"/>
          <w:sz w:val="28"/>
          <w:u w:val="single"/>
        </w:rPr>
      </w:pPr>
    </w:p>
    <w:p w14:paraId="8C000000">
      <w:pPr>
        <w:ind w:firstLine="708" w:left="0"/>
        <w:jc w:val="both"/>
        <w:rPr>
          <w:b w:val="1"/>
          <w:sz w:val="28"/>
          <w:u w:val="single"/>
        </w:rPr>
      </w:pPr>
    </w:p>
    <w:p w14:paraId="8D000000">
      <w:pPr>
        <w:ind w:firstLine="708" w:left="0"/>
        <w:jc w:val="both"/>
        <w:rPr>
          <w:b w:val="1"/>
          <w:sz w:val="28"/>
          <w:u w:val="single"/>
        </w:rPr>
      </w:pPr>
    </w:p>
    <w:p w14:paraId="8E000000">
      <w:pPr>
        <w:ind w:firstLine="708" w:left="0"/>
        <w:jc w:val="both"/>
        <w:rPr>
          <w:b w:val="1"/>
          <w:sz w:val="28"/>
          <w:u w:val="single"/>
        </w:rPr>
      </w:pPr>
    </w:p>
    <w:p w14:paraId="8F000000">
      <w:pPr>
        <w:ind w:firstLine="708" w:left="0"/>
        <w:jc w:val="both"/>
        <w:rPr>
          <w:b w:val="1"/>
          <w:sz w:val="28"/>
          <w:u w:val="single"/>
        </w:rPr>
      </w:pPr>
    </w:p>
    <w:p w14:paraId="90000000">
      <w:pPr>
        <w:ind w:firstLine="708" w:left="0"/>
        <w:jc w:val="both"/>
        <w:rPr>
          <w:b w:val="1"/>
          <w:sz w:val="28"/>
          <w:u w:val="single"/>
        </w:rPr>
      </w:pPr>
    </w:p>
    <w:p w14:paraId="91000000">
      <w:pPr>
        <w:ind w:firstLine="708" w:left="0"/>
        <w:jc w:val="both"/>
        <w:rPr>
          <w:b w:val="1"/>
          <w:sz w:val="28"/>
          <w:u w:val="single"/>
        </w:rPr>
      </w:pPr>
    </w:p>
    <w:p w14:paraId="92000000">
      <w:pPr>
        <w:ind w:firstLine="708" w:left="0"/>
        <w:jc w:val="both"/>
        <w:rPr>
          <w:b w:val="1"/>
          <w:sz w:val="28"/>
          <w:u w:val="single"/>
        </w:rPr>
      </w:pPr>
    </w:p>
    <w:p w14:paraId="93000000">
      <w:pPr>
        <w:ind w:firstLine="708" w:left="0"/>
        <w:jc w:val="both"/>
        <w:rPr>
          <w:b w:val="1"/>
          <w:sz w:val="28"/>
          <w:u w:val="single"/>
        </w:rPr>
      </w:pPr>
    </w:p>
    <w:p w14:paraId="94000000">
      <w:pPr>
        <w:ind w:firstLine="708" w:left="0"/>
        <w:jc w:val="both"/>
        <w:rPr>
          <w:b w:val="1"/>
          <w:sz w:val="28"/>
          <w:u w:val="single"/>
        </w:rPr>
      </w:pPr>
    </w:p>
    <w:p w14:paraId="95000000">
      <w:pPr>
        <w:ind w:firstLine="708" w:left="0"/>
        <w:jc w:val="both"/>
        <w:rPr>
          <w:b w:val="1"/>
          <w:sz w:val="28"/>
          <w:u w:val="single"/>
        </w:rPr>
      </w:pPr>
    </w:p>
    <w:p w14:paraId="96000000">
      <w:pPr>
        <w:ind w:firstLine="708" w:left="0"/>
        <w:jc w:val="both"/>
        <w:rPr>
          <w:b w:val="1"/>
          <w:sz w:val="28"/>
          <w:u w:val="single"/>
        </w:rPr>
      </w:pPr>
    </w:p>
    <w:p w14:paraId="97000000">
      <w:pPr>
        <w:ind w:firstLine="708" w:left="0"/>
        <w:jc w:val="both"/>
        <w:rPr>
          <w:b w:val="1"/>
          <w:sz w:val="28"/>
          <w:u w:val="single"/>
        </w:rPr>
      </w:pPr>
    </w:p>
    <w:p w14:paraId="98000000">
      <w:pPr>
        <w:ind w:firstLine="708" w:left="0"/>
        <w:jc w:val="both"/>
        <w:rPr>
          <w:b w:val="1"/>
          <w:sz w:val="28"/>
          <w:u w:val="single"/>
        </w:rPr>
      </w:pPr>
    </w:p>
    <w:p w14:paraId="99000000">
      <w:pPr>
        <w:ind w:firstLine="708" w:left="0"/>
        <w:jc w:val="both"/>
        <w:rPr>
          <w:b w:val="1"/>
          <w:sz w:val="28"/>
          <w:u w:val="single"/>
        </w:rPr>
      </w:pPr>
    </w:p>
    <w:p w14:paraId="9A000000">
      <w:pPr>
        <w:ind w:firstLine="708" w:left="0"/>
        <w:jc w:val="both"/>
        <w:rPr>
          <w:b w:val="1"/>
          <w:sz w:val="28"/>
          <w:u w:val="single"/>
        </w:rPr>
      </w:pPr>
    </w:p>
    <w:p w14:paraId="9B000000">
      <w:pPr>
        <w:ind w:firstLine="708" w:left="0"/>
        <w:jc w:val="both"/>
        <w:rPr>
          <w:b w:val="1"/>
          <w:sz w:val="28"/>
          <w:u w:val="single"/>
        </w:rPr>
      </w:pPr>
    </w:p>
    <w:p w14:paraId="9C000000">
      <w:pPr>
        <w:ind w:firstLine="708" w:left="0"/>
        <w:jc w:val="both"/>
        <w:rPr>
          <w:b w:val="1"/>
          <w:sz w:val="28"/>
          <w:u w:val="single"/>
        </w:rPr>
      </w:pPr>
    </w:p>
    <w:p w14:paraId="9D000000">
      <w:pPr>
        <w:ind w:firstLine="708" w:left="0"/>
        <w:jc w:val="both"/>
        <w:rPr>
          <w:b w:val="1"/>
          <w:sz w:val="28"/>
          <w:u w:val="single"/>
        </w:rPr>
      </w:pPr>
    </w:p>
    <w:p w14:paraId="9E000000">
      <w:pPr>
        <w:ind w:firstLine="708" w:left="0"/>
        <w:jc w:val="both"/>
        <w:rPr>
          <w:b w:val="1"/>
          <w:sz w:val="28"/>
          <w:u w:val="single"/>
        </w:rPr>
      </w:pPr>
    </w:p>
    <w:p w14:paraId="9F000000">
      <w:pPr>
        <w:ind w:firstLine="708" w:left="0"/>
        <w:jc w:val="both"/>
        <w:rPr>
          <w:b w:val="1"/>
          <w:sz w:val="28"/>
          <w:u w:val="single"/>
        </w:rPr>
      </w:pPr>
    </w:p>
    <w:p w14:paraId="A0000000">
      <w:pPr>
        <w:ind w:firstLine="708" w:left="0"/>
        <w:jc w:val="both"/>
        <w:rPr>
          <w:b w:val="1"/>
          <w:sz w:val="28"/>
          <w:u w:val="single"/>
        </w:rPr>
      </w:pPr>
    </w:p>
    <w:p w14:paraId="A1000000">
      <w:pPr>
        <w:ind w:firstLine="708" w:left="0"/>
        <w:jc w:val="both"/>
        <w:rPr>
          <w:b w:val="1"/>
          <w:sz w:val="28"/>
          <w:u w:val="single"/>
        </w:rPr>
      </w:pPr>
    </w:p>
    <w:p w14:paraId="A2000000">
      <w:pPr>
        <w:ind w:firstLine="708" w:left="0"/>
        <w:jc w:val="both"/>
        <w:rPr>
          <w:b w:val="1"/>
          <w:sz w:val="28"/>
          <w:u w:val="single"/>
        </w:rPr>
      </w:pPr>
    </w:p>
    <w:p w14:paraId="A3000000">
      <w:pPr>
        <w:ind w:firstLine="708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 xml:space="preserve">Как получить </w:t>
      </w:r>
      <w:r>
        <w:rPr>
          <w:b w:val="1"/>
          <w:sz w:val="28"/>
          <w:u w:val="single"/>
        </w:rPr>
        <w:t xml:space="preserve">и оплатить </w:t>
      </w:r>
      <w:r>
        <w:rPr>
          <w:b w:val="1"/>
          <w:sz w:val="28"/>
          <w:u w:val="single"/>
        </w:rPr>
        <w:t>налоговое уведомление через ЕПГУ</w:t>
      </w:r>
      <w:r>
        <w:rPr>
          <w:b w:val="1"/>
          <w:sz w:val="28"/>
          <w:u w:val="single"/>
        </w:rPr>
        <w:t>?</w:t>
      </w:r>
      <w:r>
        <w:rPr>
          <w:b w:val="1"/>
          <w:sz w:val="28"/>
          <w:u w:val="single"/>
        </w:rPr>
        <w:t xml:space="preserve"> </w:t>
      </w:r>
    </w:p>
    <w:p w14:paraId="A4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Получение налоговых уведомлений через ЕПГУ возможно при соблюдении двух условий (пункт 1.2 статьи 21 НК РФ): </w:t>
      </w:r>
    </w:p>
    <w:p w14:paraId="A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- налогоплательщик должен быть зарегистрирован в единой системе идентификации и аутентификации на ЕПГУ; </w:t>
      </w:r>
    </w:p>
    <w:p w14:paraId="A6000000">
      <w:pPr>
        <w:ind w:firstLine="708" w:left="0"/>
        <w:jc w:val="both"/>
        <w:rPr>
          <w:sz w:val="28"/>
        </w:rPr>
      </w:pPr>
      <w:r>
        <w:rPr>
          <w:sz w:val="28"/>
        </w:rPr>
        <w:t>- налогоплательщик направил через ЕПГУ уведомление о необходимости получения документов от налоговых органов через ЕПГУ (форма такого уведомления утверждена п</w:t>
      </w:r>
      <w:r>
        <w:rPr>
          <w:sz w:val="28"/>
        </w:rPr>
        <w:t>риказом ФНС России от 12.05.2023 № ЕД-7-21/309@)</w:t>
      </w:r>
      <w:r>
        <w:rPr>
          <w:sz w:val="28"/>
        </w:rPr>
        <w:t xml:space="preserve">. </w:t>
      </w:r>
    </w:p>
    <w:p w14:paraId="A7000000">
      <w:pPr>
        <w:ind w:firstLine="708" w:left="0"/>
        <w:jc w:val="both"/>
        <w:rPr>
          <w:sz w:val="28"/>
        </w:rPr>
      </w:pPr>
      <w:r>
        <w:rPr>
          <w:sz w:val="28"/>
        </w:rPr>
        <w:t>На основании тако</w:t>
      </w:r>
      <w:r>
        <w:rPr>
          <w:sz w:val="28"/>
        </w:rPr>
        <w:t xml:space="preserve">го уведомления налоговый орган разместит в личном кабинете пользователя ЕПГУ адресованные ему налоговые уведомления. </w:t>
      </w:r>
    </w:p>
    <w:p w14:paraId="A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Пользователь ЕПГУ сможет оплатить начисления </w:t>
      </w:r>
      <w:r>
        <w:rPr>
          <w:sz w:val="28"/>
        </w:rPr>
        <w:t xml:space="preserve">налогов </w:t>
      </w:r>
      <w:r>
        <w:rPr>
          <w:sz w:val="28"/>
        </w:rPr>
        <w:t>из налогового уведомления онлайн в личном кабинете ЕПГУ.</w:t>
      </w:r>
    </w:p>
    <w:p w14:paraId="A9000000"/>
    <w:p w14:paraId="AA000000"/>
    <w:p w14:paraId="AB000000"/>
    <w:p w14:paraId="AC000000"/>
    <w:p w14:paraId="AD000000"/>
    <w:p w14:paraId="AE000000"/>
    <w:p w14:paraId="AF000000"/>
    <w:p w14:paraId="B0000000"/>
    <w:p w14:paraId="B1000000"/>
    <w:p w14:paraId="B2000000"/>
    <w:p w14:paraId="B3000000"/>
    <w:p w14:paraId="B4000000"/>
    <w:p w14:paraId="B5000000"/>
    <w:p w14:paraId="B6000000"/>
    <w:p w14:paraId="B7000000"/>
    <w:p w14:paraId="B8000000"/>
    <w:p w14:paraId="B9000000"/>
    <w:p w14:paraId="BA000000"/>
    <w:p w14:paraId="BB000000"/>
    <w:p w14:paraId="BC000000"/>
    <w:p w14:paraId="BD000000"/>
    <w:p w14:paraId="BE000000"/>
    <w:p w14:paraId="BF000000"/>
    <w:p w14:paraId="C0000000"/>
    <w:p w14:paraId="C1000000"/>
    <w:p w14:paraId="C2000000"/>
    <w:p w14:paraId="C3000000"/>
    <w:p w14:paraId="C4000000"/>
    <w:p w14:paraId="C5000000"/>
    <w:p w14:paraId="C6000000"/>
    <w:p w14:paraId="C7000000"/>
    <w:p w14:paraId="C8000000"/>
    <w:p w14:paraId="C9000000"/>
    <w:p w14:paraId="CA000000"/>
    <w:p w14:paraId="CB000000"/>
    <w:p w14:paraId="CC000000"/>
    <w:p w14:paraId="CD000000"/>
    <w:p w14:paraId="CE000000"/>
    <w:p w14:paraId="CF000000"/>
    <w:p w14:paraId="D0000000"/>
    <w:p w14:paraId="D1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Почему в 2024 году изменились суммы налогов на имущество? </w:t>
      </w:r>
    </w:p>
    <w:p w14:paraId="D2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Поскольку расчет налогов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налоговом органе или обратившись в контакт-центр ФНС России (тел. 8 800 – 222-22-22). Существуют и общие основания для изменения налоговой нагрузки. </w:t>
      </w:r>
    </w:p>
    <w:p w14:paraId="D3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Транспортный налог. </w:t>
      </w:r>
    </w:p>
    <w:p w14:paraId="D4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 налога может обуславливаться следующими причинами: </w:t>
      </w:r>
    </w:p>
    <w:p w14:paraId="D5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изменение налоговых ставок и (или) отмена льгот, </w:t>
      </w:r>
      <w:r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по установлению которых относятся к компетенции субъектов РФ.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); </w:t>
      </w:r>
    </w:p>
    <w:p w14:paraId="D6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применение повышающих коэффициентов при расчете налога за легковые автомашины средней стоимостью от 10 млн. руб. согласно размещённому на сайте </w:t>
      </w:r>
      <w:r>
        <w:rPr>
          <w:rFonts w:ascii="Times New Roman" w:hAnsi="Times New Roman"/>
          <w:sz w:val="28"/>
        </w:rPr>
        <w:t>Минпромторга</w:t>
      </w:r>
      <w:r>
        <w:rPr>
          <w:rFonts w:ascii="Times New Roman" w:hAnsi="Times New Roman"/>
          <w:sz w:val="28"/>
        </w:rPr>
        <w:t xml:space="preserve"> России Перечню легковых автомобилей средней стоимостью от 10 миллионов рублей для налогового периода 2023 года; </w:t>
      </w:r>
    </w:p>
    <w:p w14:paraId="D7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наличие иных оснований (например, в результате утраты права на применение льготы, поступления уточненных сведений от органов, осуществляющих государственную регистрацию транспортных средств, и т.п.). </w:t>
      </w:r>
    </w:p>
    <w:p w14:paraId="D8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Земельный налог. </w:t>
      </w:r>
    </w:p>
    <w:p w14:paraId="D9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 налога может обуславливаться следующими причинами: </w:t>
      </w:r>
    </w:p>
    <w:p w14:paraId="D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изменение налоговых ставок и (или) отмена льгот, </w:t>
      </w:r>
      <w:r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по установлению которых относятся к компетенции представительных органов муниципальных образований.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);</w:t>
      </w:r>
    </w:p>
    <w:p w14:paraId="DB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изменение кадастровой стоимости земельного участка, например, вследствие изменения характеристик земельного участка (вида разрешенного использования, категории земель, площади), </w:t>
      </w:r>
      <w:r>
        <w:rPr>
          <w:rFonts w:ascii="Times New Roman" w:hAnsi="Times New Roman"/>
          <w:sz w:val="28"/>
        </w:rPr>
        <w:t>притом</w:t>
      </w:r>
      <w:r>
        <w:rPr>
          <w:rFonts w:ascii="Times New Roman" w:hAnsi="Times New Roman"/>
          <w:sz w:val="28"/>
        </w:rPr>
        <w:t xml:space="preserve"> что отсутствуют </w:t>
      </w:r>
      <w:r>
        <w:rPr>
          <w:rFonts w:ascii="Times New Roman" w:hAnsi="Times New Roman"/>
          <w:sz w:val="28"/>
        </w:rPr>
        <w:t xml:space="preserve">основания для применения ограничения роста налоговой базы, предусмотренного пунктом 18 статьи 2 Федерального закона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Федерации»; </w:t>
      </w:r>
    </w:p>
    <w:p w14:paraId="D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3) наличие иных оснований (например, в результате перерасчета налога, утраты права на применение льготы, поступления уточненных сведений от органов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и т.п.). </w:t>
      </w:r>
    </w:p>
    <w:p w14:paraId="DD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Налог на имущество физических лиц. </w:t>
      </w:r>
    </w:p>
    <w:p w14:paraId="DE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Рост налога может обуславливаться изменением налоговых ставок или отменой льгот, </w:t>
      </w:r>
      <w:r>
        <w:rPr>
          <w:rFonts w:ascii="Times New Roman" w:hAnsi="Times New Roman"/>
          <w:sz w:val="28"/>
        </w:rPr>
        <w:t>полномочия</w:t>
      </w:r>
      <w:r>
        <w:rPr>
          <w:rFonts w:ascii="Times New Roman" w:hAnsi="Times New Roman"/>
          <w:sz w:val="28"/>
        </w:rPr>
        <w:t xml:space="preserve"> по установлению которых относятся к компетенции представительных органов муниципальных образований (городов федерального значения). С информацией о налоговых ставках и льготах можно ознакомиться в рубрике «Справочная информация о ставках и льготах по имущественным налогам» на сайте ФНС России (</w:t>
      </w:r>
      <w:r>
        <w:rPr>
          <w:rStyle w:val="Style_1_ch"/>
          <w:rFonts w:ascii="Times New Roman" w:hAnsi="Times New Roman"/>
          <w:sz w:val="28"/>
        </w:rPr>
        <w:fldChar w:fldCharType="begin"/>
      </w:r>
      <w:r>
        <w:rPr>
          <w:rStyle w:val="Style_1_ch"/>
          <w:rFonts w:ascii="Times New Roman" w:hAnsi="Times New Roman"/>
          <w:sz w:val="28"/>
        </w:rPr>
        <w:instrText>HYPERLINK "https://www.nalog.ru/rn77/service/tax/"</w:instrText>
      </w:r>
      <w:r>
        <w:rPr>
          <w:rStyle w:val="Style_1_ch"/>
          <w:rFonts w:ascii="Times New Roman" w:hAnsi="Times New Roman"/>
          <w:sz w:val="28"/>
        </w:rPr>
        <w:fldChar w:fldCharType="separate"/>
      </w:r>
      <w:r>
        <w:rPr>
          <w:rStyle w:val="Style_1_ch"/>
          <w:rFonts w:ascii="Times New Roman" w:hAnsi="Times New Roman"/>
          <w:sz w:val="28"/>
        </w:rPr>
        <w:t>https://www.nalog.ru/rn77/service/tax/</w:t>
      </w:r>
      <w:r>
        <w:rPr>
          <w:rStyle w:val="Style_1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).</w:t>
      </w:r>
    </w:p>
    <w:p w14:paraId="DF000000"/>
    <w:p w14:paraId="E000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 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</w:t>
      </w:r>
    </w:p>
    <w:p w14:paraId="E1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14:paraId="E2000000"/>
    <w:p w14:paraId="E3000000"/>
    <w:p w14:paraId="E4000000"/>
    <w:p w14:paraId="E5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6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7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8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9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A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B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C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D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E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EF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0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1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2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3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4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5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6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7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8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9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A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B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C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D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E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FF00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0001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0101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</w:p>
    <w:p w14:paraId="02010000">
      <w:pPr>
        <w:ind w:firstLine="850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Как распределяются средства </w:t>
      </w:r>
      <w:r>
        <w:rPr>
          <w:rFonts w:ascii="Times New Roman" w:hAnsi="Times New Roman"/>
          <w:b w:val="1"/>
          <w:sz w:val="28"/>
          <w:u w:val="single"/>
        </w:rPr>
        <w:t xml:space="preserve">на </w:t>
      </w:r>
      <w:r>
        <w:rPr>
          <w:rFonts w:ascii="Times New Roman" w:hAnsi="Times New Roman"/>
          <w:b w:val="1"/>
          <w:sz w:val="28"/>
          <w:u w:val="single"/>
        </w:rPr>
        <w:t>ЕНС предпринимателей</w:t>
      </w:r>
      <w:r>
        <w:rPr>
          <w:rFonts w:ascii="Times New Roman" w:hAnsi="Times New Roman"/>
          <w:b w:val="1"/>
          <w:sz w:val="28"/>
          <w:u w:val="single"/>
        </w:rPr>
        <w:t xml:space="preserve"> при поступлении налогового уведомления на уплату имущественных налогов физических лиц</w:t>
      </w:r>
      <w:r>
        <w:rPr>
          <w:rFonts w:ascii="Times New Roman" w:hAnsi="Times New Roman"/>
          <w:b w:val="1"/>
          <w:sz w:val="28"/>
          <w:u w:val="single"/>
        </w:rPr>
        <w:t>?</w:t>
      </w:r>
    </w:p>
    <w:p w14:paraId="03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Переплата (положительное сальдо ЕНС) индивидуального предпринимателя резервируется в счет предстоящей обязанности по уплате имущественных налогов и НДФЛ. Если сальдо ЕНС меньше, то средства будут зачитываться в счет исполнения налогового уведомления по мере поступления платежей до полного погашения предстоящей обязанности.</w:t>
      </w:r>
    </w:p>
    <w:p w14:paraId="04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 ИП до 2 декабря появится недоимка по уплате других налогов, то зачтенная сумма с обязательств по имущественным налогам распределится в счет погашения обязательств с более ранним сроком.</w:t>
      </w:r>
    </w:p>
    <w:p w14:paraId="05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✅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Пример</w:t>
      </w:r>
    </w:p>
    <w:p w14:paraId="06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 сентября в личный кабинет поступило налоговое уведомление на уплату имущественных налогов на 500 рублей. 16 сентября вы пополнили ЕНС на эту сумму, и она была зарезервирована в счет уплаты имущественных налогов по сроку 2 декабря. </w:t>
      </w:r>
    </w:p>
    <w:p w14:paraId="07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30 октября наступила обязанность по уплате авансового платежа по УСН. Если на эту дату на ЕНП нет средств, то производится автоматическое перераспределение 500 рублей с имущественных налогов в УСН без начисления пеней. То есть выполняется уплата УСН как обязанность с более ранним сроком. </w:t>
      </w:r>
    </w:p>
    <w:p w14:paraId="08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до 2 декабря потребуется внести на ЕНП 500 рублей для исполнения налогового уведомления.</w:t>
      </w:r>
    </w:p>
    <w:p w14:paraId="09010000"/>
    <w:p w14:paraId="0A010000"/>
    <w:p w14:paraId="0B010000"/>
    <w:p w14:paraId="0C010000"/>
    <w:p w14:paraId="0D010000"/>
    <w:p w14:paraId="0E010000"/>
    <w:p w14:paraId="0F010000"/>
    <w:p w14:paraId="10010000"/>
    <w:p w14:paraId="11010000">
      <w:pPr>
        <w:spacing w:line="276" w:lineRule="auto"/>
        <w:ind w:firstLine="709" w:left="0"/>
        <w:jc w:val="both"/>
        <w:rPr>
          <w:sz w:val="28"/>
        </w:rPr>
      </w:pPr>
    </w:p>
    <w:p w14:paraId="12010000">
      <w:pPr>
        <w:spacing w:line="276" w:lineRule="auto"/>
        <w:ind w:firstLine="709" w:left="0"/>
        <w:jc w:val="both"/>
        <w:rPr>
          <w:sz w:val="28"/>
        </w:rPr>
      </w:pPr>
    </w:p>
    <w:p w14:paraId="13010000">
      <w:pPr>
        <w:spacing w:line="276" w:lineRule="auto"/>
        <w:ind w:firstLine="709" w:left="0"/>
        <w:jc w:val="both"/>
        <w:rPr>
          <w:sz w:val="28"/>
        </w:rPr>
      </w:pPr>
    </w:p>
    <w:p w14:paraId="14010000">
      <w:pPr>
        <w:spacing w:line="276" w:lineRule="auto"/>
        <w:ind w:firstLine="709" w:left="0"/>
        <w:jc w:val="both"/>
        <w:rPr>
          <w:sz w:val="28"/>
        </w:rPr>
      </w:pPr>
    </w:p>
    <w:p w14:paraId="15010000">
      <w:pPr>
        <w:spacing w:line="276" w:lineRule="auto"/>
        <w:ind w:firstLine="709" w:left="0"/>
        <w:jc w:val="both"/>
        <w:rPr>
          <w:sz w:val="28"/>
        </w:rPr>
      </w:pPr>
    </w:p>
    <w:p w14:paraId="16010000">
      <w:pPr>
        <w:spacing w:line="276" w:lineRule="auto"/>
        <w:ind w:firstLine="709" w:left="0"/>
        <w:jc w:val="both"/>
        <w:rPr>
          <w:sz w:val="28"/>
        </w:rPr>
      </w:pPr>
    </w:p>
    <w:p w14:paraId="17010000">
      <w:pPr>
        <w:spacing w:line="276" w:lineRule="auto"/>
        <w:ind w:firstLine="709" w:left="0"/>
        <w:jc w:val="both"/>
        <w:rPr>
          <w:sz w:val="28"/>
        </w:rPr>
      </w:pPr>
    </w:p>
    <w:p w14:paraId="18010000">
      <w:pPr>
        <w:spacing w:line="276" w:lineRule="auto"/>
        <w:ind w:firstLine="709" w:left="0"/>
        <w:jc w:val="both"/>
        <w:rPr>
          <w:sz w:val="28"/>
        </w:rPr>
      </w:pPr>
    </w:p>
    <w:p w14:paraId="19010000">
      <w:pPr>
        <w:spacing w:line="276" w:lineRule="auto"/>
        <w:ind w:firstLine="709" w:left="0"/>
        <w:jc w:val="both"/>
        <w:rPr>
          <w:sz w:val="28"/>
        </w:rPr>
      </w:pPr>
    </w:p>
    <w:p w14:paraId="1A010000">
      <w:pPr>
        <w:spacing w:line="276" w:lineRule="auto"/>
        <w:ind w:firstLine="709" w:left="0"/>
        <w:jc w:val="both"/>
        <w:rPr>
          <w:sz w:val="28"/>
        </w:rPr>
      </w:pPr>
    </w:p>
    <w:p w14:paraId="1B010000">
      <w:pPr>
        <w:spacing w:line="276" w:lineRule="auto"/>
        <w:ind w:firstLine="709" w:left="0"/>
        <w:jc w:val="both"/>
        <w:rPr>
          <w:sz w:val="28"/>
        </w:rPr>
      </w:pPr>
    </w:p>
    <w:p w14:paraId="1C010000">
      <w:pPr>
        <w:spacing w:line="276" w:lineRule="auto"/>
        <w:ind w:firstLine="709" w:left="0"/>
        <w:jc w:val="both"/>
        <w:rPr>
          <w:sz w:val="28"/>
        </w:rPr>
      </w:pPr>
    </w:p>
    <w:p w14:paraId="1D010000">
      <w:pPr>
        <w:spacing w:line="276" w:lineRule="auto"/>
        <w:ind w:firstLine="709" w:left="0"/>
        <w:jc w:val="both"/>
        <w:rPr>
          <w:sz w:val="28"/>
        </w:rPr>
      </w:pPr>
    </w:p>
    <w:p w14:paraId="1E010000">
      <w:pPr>
        <w:spacing w:line="276" w:lineRule="auto"/>
        <w:ind w:firstLine="709" w:left="0"/>
        <w:jc w:val="both"/>
        <w:rPr>
          <w:sz w:val="28"/>
        </w:rPr>
      </w:pPr>
    </w:p>
    <w:p w14:paraId="1F010000">
      <w:pPr>
        <w:spacing w:line="276" w:lineRule="auto"/>
        <w:ind w:firstLine="709" w:left="0"/>
        <w:jc w:val="both"/>
        <w:rPr>
          <w:sz w:val="28"/>
        </w:rPr>
      </w:pPr>
    </w:p>
    <w:p w14:paraId="20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Одной из основных задач, поставленных перед ФНС России, является обеспечение комфортного перехода налогоплательщиков на использование электронного документооборота со своими контрагентами.</w:t>
      </w:r>
    </w:p>
    <w:p w14:paraId="21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Согласно статье 169 Налогового кодекса Российской Федерации </w:t>
      </w:r>
      <w:r>
        <w:rPr>
          <w:sz w:val="28"/>
        </w:rPr>
        <w:br/>
      </w:r>
      <w:r>
        <w:rPr>
          <w:sz w:val="28"/>
        </w:rPr>
        <w:t xml:space="preserve">(далее – НК РФ) счет-фактура может быть составлен и выставлен на бумажном носителе и (или) </w:t>
      </w:r>
      <w:r>
        <w:rPr>
          <w:b w:val="1"/>
          <w:sz w:val="28"/>
        </w:rPr>
        <w:t>в электронной форме</w:t>
      </w:r>
      <w:r>
        <w:rPr>
          <w:sz w:val="28"/>
        </w:rPr>
        <w:t>. Счета-фактуры составляются в электронной форме по взаимному согласию сторон сделки и при наличии у указанных сторон совместимых технических средств и возможностей для приема и обработки этих счетов-фактур, если иное не предусмотрено настоящей статьей, в соответствии с установленными форматами и порядком:</w:t>
      </w:r>
    </w:p>
    <w:p w14:paraId="22010000">
      <w:pPr>
        <w:numPr>
          <w:ilvl w:val="0"/>
          <w:numId w:val="1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Формат электронного счета-фактуры утвержден приказом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ФНС России от 19.12.2023 № ЕД-7-26/970@;</w:t>
      </w:r>
    </w:p>
    <w:p w14:paraId="23010000">
      <w:pPr>
        <w:numPr>
          <w:ilvl w:val="0"/>
          <w:numId w:val="1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выставления и получения счетов-фактур в электронной форме по телекоммуникационным каналам связи с применением усиленной квалифицированной электронной подписи, утвержден приказом Министерства финансов Российской Федерации от 05.02.2021 № 14н.</w:t>
      </w:r>
    </w:p>
    <w:p w14:paraId="24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Следует учесть, что обмен счетами фактурами выполняется в электронной форме через </w:t>
      </w:r>
      <w:r>
        <w:rPr>
          <w:b w:val="1"/>
          <w:sz w:val="28"/>
        </w:rPr>
        <w:t>Операторов электронного документооборота</w:t>
      </w:r>
      <w:r>
        <w:rPr>
          <w:sz w:val="28"/>
        </w:rPr>
        <w:t xml:space="preserve">. Требования к оператору ЭДО утверждены приказом ФНС России от 08.06.2021 </w:t>
      </w:r>
      <w:r>
        <w:rPr>
          <w:sz w:val="28"/>
        </w:rPr>
        <w:br/>
      </w:r>
      <w:r>
        <w:rPr>
          <w:sz w:val="28"/>
        </w:rPr>
        <w:t xml:space="preserve">№ ЕД-7-26/546@. Положение о Реестре Операторов ЭДО утверждено приказом ФНС России от 29.10.2021 № ЕД-7-26/936@. </w:t>
      </w:r>
    </w:p>
    <w:p w14:paraId="25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целях обеспечения комфортного перехода на электронный документооборот ФНС России опубликован ряд сервисов и информационных страниц.  </w:t>
      </w:r>
    </w:p>
    <w:p w14:paraId="26010000">
      <w:pPr>
        <w:numPr>
          <w:ilvl w:val="0"/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posOffset>5434965</wp:posOffset>
            </wp:positionH>
            <wp:positionV relativeFrom="paragraph">
              <wp:posOffset>17145</wp:posOffset>
            </wp:positionV>
            <wp:extent cx="685800" cy="68580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85800" cy="685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>«Выбор Оператора электронного документооборота»</w:t>
      </w:r>
      <w:r>
        <w:rPr>
          <w:rFonts w:ascii="Times New Roman" w:hAnsi="Times New Roman"/>
          <w:sz w:val="28"/>
        </w:rPr>
        <w:t xml:space="preserve"> – это раздел, перейдя в который пользователь сайта сможет узнать об особенностях ЭДО; найти оператора по разным фильтрам, увидеть более подробную информацию об Операторе или предоставляемым им иным услугам. </w:t>
      </w:r>
    </w:p>
    <w:p w14:paraId="27010000">
      <w:pPr>
        <w:spacing w:after="0"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8010000">
      <w:pPr>
        <w:numPr>
          <w:ilvl w:val="0"/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809625" cy="809625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09625" cy="8096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 xml:space="preserve">«Калькулятор для расчета эффективности внедрения ЭДО в компании» - </w:t>
      </w:r>
      <w:r>
        <w:rPr>
          <w:rFonts w:ascii="Times New Roman" w:hAnsi="Times New Roman"/>
          <w:sz w:val="28"/>
        </w:rPr>
        <w:t>интерактивный сервис, который позволяет получить предварительную оценку стоимости перехода компании на электронный документооборот, а также примерный срок окупаемости понесенных затрат.</w:t>
      </w:r>
    </w:p>
    <w:p w14:paraId="29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638175" cy="638175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638175" cy="63817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A010000">
      <w:pPr>
        <w:numPr>
          <w:ilvl w:val="0"/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«Сценарии внедрения ЭДО»</w:t>
      </w:r>
      <w:r>
        <w:rPr>
          <w:rFonts w:ascii="Times New Roman" w:hAnsi="Times New Roman"/>
          <w:sz w:val="28"/>
        </w:rPr>
        <w:t xml:space="preserve"> – раздел, содержащий информацию о типовых пошаговых сценариях проектов по внедрению ЭДО в компании.</w:t>
      </w:r>
      <w:r>
        <w:rPr>
          <w:rFonts w:ascii="Times New Roman" w:hAnsi="Times New Roman"/>
          <w:color w:val="000000"/>
          <w:sz w:val="28"/>
          <w:highlight w:val="black"/>
          <w:u w:color="000000"/>
        </w:rPr>
        <w:t xml:space="preserve"> </w:t>
      </w:r>
    </w:p>
    <w:p w14:paraId="2B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C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D010000">
      <w:pPr>
        <w:numPr>
          <w:ilvl w:val="0"/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151130</wp:posOffset>
            </wp:positionV>
            <wp:extent cx="762000" cy="762000"/>
            <wp:effectExtent b="0" l="0" r="0" t="0"/>
            <wp:wrapSquare distB="0" distL="114300" distR="114300" distT="0" wrapText="bothSides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62000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 xml:space="preserve">«Прозрачный бизнес» </w:t>
      </w:r>
      <w:r>
        <w:rPr>
          <w:rFonts w:ascii="Times New Roman" w:hAnsi="Times New Roman"/>
          <w:sz w:val="28"/>
        </w:rPr>
        <w:t>- данный сервис содержит комплексную информацию о налогоплательщиках, включая сведения о применении ими электронного документооборота со своими контрагентами.</w:t>
      </w:r>
      <w:r>
        <w:rPr>
          <w:rFonts w:ascii="Times New Roman" w:hAnsi="Times New Roman"/>
          <w:color w:val="000000"/>
          <w:sz w:val="28"/>
          <w:highlight w:val="black"/>
          <w:u w:color="000000"/>
        </w:rPr>
        <w:t xml:space="preserve"> </w:t>
      </w:r>
    </w:p>
    <w:p w14:paraId="2E010000">
      <w:p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</w:p>
    <w:p w14:paraId="2F010000">
      <w:pPr>
        <w:numPr>
          <w:ilvl w:val="0"/>
          <w:numId w:val="2"/>
        </w:numPr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38175" cy="638175"/>
            <wp:effectExtent b="0" l="0" r="0" t="0"/>
            <wp:wrapSquare distB="0" distL="114300" distR="114300" distT="0" wrapText="bothSides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638175" cy="6381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sz w:val="28"/>
        </w:rPr>
        <w:t xml:space="preserve">«Электронный документооборот» </w:t>
      </w:r>
      <w:r>
        <w:rPr>
          <w:rFonts w:ascii="Times New Roman" w:hAnsi="Times New Roman"/>
          <w:sz w:val="28"/>
        </w:rPr>
        <w:t>- раздел сайта ФНС России, содержащий необходимую информацию для организации электронного документооборота как с налоговыми органами, так и с другими налогоплательщиками.</w:t>
      </w:r>
      <w:r>
        <w:rPr>
          <w:rFonts w:ascii="Times New Roman" w:hAnsi="Times New Roman"/>
          <w:color w:val="000000"/>
          <w:sz w:val="28"/>
          <w:highlight w:val="black"/>
          <w:u w:color="000000"/>
        </w:rPr>
        <w:t xml:space="preserve"> </w:t>
      </w:r>
    </w:p>
    <w:p w14:paraId="30010000">
      <w:pPr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Рекомендуем рассмотреть возможность интенсифицировать переход на электронный документооборот, в частности в части обмена электронными счетами-фактурами, с вашими контрагентами.</w:t>
      </w:r>
    </w:p>
    <w:p w14:paraId="31010000"/>
    <w:p w14:paraId="32010000"/>
    <w:p w14:paraId="33010000"/>
    <w:p w14:paraId="34010000"/>
    <w:p w14:paraId="35010000"/>
    <w:p w14:paraId="36010000"/>
    <w:p w14:paraId="37010000"/>
    <w:p w14:paraId="38010000"/>
    <w:p w14:paraId="39010000"/>
    <w:p w14:paraId="3A010000"/>
    <w:p w14:paraId="3B010000"/>
    <w:p w14:paraId="3C010000"/>
    <w:p w14:paraId="3D010000"/>
    <w:p w14:paraId="3E010000"/>
    <w:p w14:paraId="3F010000"/>
    <w:p w14:paraId="40010000"/>
    <w:p w14:paraId="41010000"/>
    <w:p w14:paraId="42010000"/>
    <w:p w14:paraId="43010000"/>
    <w:p w14:paraId="44010000"/>
    <w:p w14:paraId="45010000"/>
    <w:p w14:paraId="46010000"/>
    <w:p w14:paraId="47010000"/>
    <w:p w14:paraId="48010000"/>
    <w:p w14:paraId="49010000"/>
    <w:p w14:paraId="4A010000"/>
    <w:p w14:paraId="4B010000"/>
    <w:p w14:paraId="4C010000"/>
    <w:p w14:paraId="4D010000"/>
    <w:p w14:paraId="4E010000"/>
    <w:p w14:paraId="4F010000"/>
    <w:p w14:paraId="50010000"/>
    <w:p w14:paraId="51010000"/>
    <w:p w14:paraId="52010000"/>
    <w:p w14:paraId="53010000"/>
    <w:p w14:paraId="54010000"/>
    <w:p w14:paraId="55010000"/>
    <w:p w14:paraId="56010000"/>
    <w:p w14:paraId="57010000"/>
    <w:p w14:paraId="58010000"/>
    <w:p w14:paraId="59010000">
      <w:pPr>
        <w:ind w:firstLine="708" w:left="0"/>
        <w:jc w:val="both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 xml:space="preserve">Что такое налоговое уведомление и как его исполнить? </w:t>
      </w:r>
    </w:p>
    <w:p w14:paraId="5A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Обязанность по ежегодному исчислению в отношении транспортных средств и недвижимого имущества </w:t>
      </w:r>
      <w:r>
        <w:rPr>
          <w:rFonts w:ascii="Times New Roman" w:hAnsi="Times New Roman"/>
          <w:sz w:val="28"/>
        </w:rPr>
        <w:t>налогоплательщиков-физических</w:t>
      </w:r>
      <w:r>
        <w:rPr>
          <w:rFonts w:ascii="Times New Roman" w:hAnsi="Times New Roman"/>
          <w:sz w:val="28"/>
        </w:rPr>
        <w:t xml:space="preserve"> лиц транспортного налога, земельного налога, налога на имущество возложена на налоговые органы (пункт 2 статьи 52 Налогового кодекса Российской Федерации, далее – НК РФ). </w:t>
      </w:r>
    </w:p>
    <w:p w14:paraId="5B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этим налоговые органы не позднее 30 дней до наступления срока уплаты по вышеперечисленным налогам направляют налогоплательщикам налоговые уведомление для уплаты налогов. </w:t>
      </w:r>
    </w:p>
    <w:p w14:paraId="5C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</w:t>
      </w:r>
      <w:r>
        <w:rPr>
          <w:rFonts w:ascii="Times New Roman" w:hAnsi="Times New Roman"/>
          <w:sz w:val="28"/>
        </w:rPr>
        <w:t>QR</w:t>
      </w:r>
      <w:r>
        <w:rPr>
          <w:rFonts w:ascii="Times New Roman" w:hAnsi="Times New Roman"/>
          <w:sz w:val="28"/>
        </w:rPr>
        <w:t xml:space="preserve">-код, штрих-код, УИН, банковские реквизиты платежа). </w:t>
      </w:r>
    </w:p>
    <w:p w14:paraId="5D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общая сумма налогов, исчисленных налоговым органом, составляет менее 300 рублей, налоговое уведомление не направляется, за исключением случая направления налогового уведомления в году, по истечении которого утрачивается возможность направления такого налогового уведомления</w:t>
      </w:r>
      <w:r>
        <w:rPr>
          <w:rFonts w:ascii="Times New Roman" w:hAnsi="Times New Roman"/>
          <w:sz w:val="28"/>
        </w:rPr>
        <w:t xml:space="preserve">. </w:t>
      </w:r>
    </w:p>
    <w:p w14:paraId="5E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Налоговое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"consultantplus://offline/ref=52C97BCA316C18EC794E3A00FBFD3ED8B33AA38E433935002DC8EEF1761FD358981D23FAFCDE9EBF92625CA00B41E87626E13DA941D0D366I70BH"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уведомление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может быть направлено налогоплательщику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 </w:t>
      </w:r>
    </w:p>
    <w:p w14:paraId="5F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r>
        <w:rPr>
          <w:rFonts w:ascii="Times New Roman" w:hAnsi="Times New Roman"/>
          <w:sz w:val="28"/>
        </w:rPr>
        <w:t>с даты направления</w:t>
      </w:r>
      <w:r>
        <w:rPr>
          <w:rFonts w:ascii="Times New Roman" w:hAnsi="Times New Roman"/>
          <w:sz w:val="28"/>
        </w:rPr>
        <w:t xml:space="preserve"> заказного письма. </w:t>
      </w:r>
    </w:p>
    <w:p w14:paraId="60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Налогоплательщик (его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"consultantplus://offline/ref=96DA80ECADC330BAF129C43A7C4211C1101317633752A1BA039446D53F0CEC6214475A04DB388EB507D07D2833g9I"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законный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(далее – МФЦ) на основании заявления о выдаче налогового уведомления. Налоговое уведомление передается налогоплательщику (его законному или </w:t>
      </w:r>
      <w:r>
        <w:rPr>
          <w:rFonts w:ascii="Times New Roman" w:hAnsi="Times New Roman"/>
          <w:sz w:val="28"/>
        </w:rPr>
        <w:t xml:space="preserve">уполномоченному представителю либо через МФЦ)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20.10.2022 № ЕД-7-21/947@). </w:t>
      </w:r>
    </w:p>
    <w:p w14:paraId="6101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Налоговое уведомление за налоговый период 2023 года должно быть исполнено (налоги в нём оплачены) не позднее 2 декабря 2024 года.</w:t>
      </w:r>
    </w:p>
    <w:p w14:paraId="62010000"/>
    <w:p w14:paraId="63010000"/>
    <w:p w14:paraId="64010000"/>
    <w:p w14:paraId="65010000"/>
    <w:p w14:paraId="66010000"/>
    <w:p w14:paraId="67010000"/>
    <w:p w14:paraId="68010000"/>
    <w:p w14:paraId="69010000"/>
    <w:p w14:paraId="6A010000"/>
    <w:p w14:paraId="6B010000"/>
    <w:p w14:paraId="6C01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5.gif" Type="http://schemas.openxmlformats.org/officeDocument/2006/relationships/image"/>
  <Relationship Id="rId4" Target="media/4.gif" Type="http://schemas.openxmlformats.org/officeDocument/2006/relationships/image"/>
  <Relationship Id="rId12" Target="numbering.xml" Type="http://schemas.openxmlformats.org/officeDocument/2006/relationships/numbering"/>
  <Relationship Id="rId3" Target="media/3.gif" Type="http://schemas.openxmlformats.org/officeDocument/2006/relationships/image"/>
  <Relationship Id="rId2" Target="media/2.gif" Type="http://schemas.openxmlformats.org/officeDocument/2006/relationships/imag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2024-10-01T11:16:25Z</dcterms:modified>
</cp:coreProperties>
</file>