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6" w:rsidRDefault="00D027DF" w:rsidP="00F74166">
      <w:pPr>
        <w:jc w:val="center"/>
        <w:rPr>
          <w:noProof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66" w:rsidRPr="00B27CF5" w:rsidRDefault="00AA64B4" w:rsidP="00F74166">
      <w:pPr>
        <w:tabs>
          <w:tab w:val="left" w:pos="1134"/>
        </w:tabs>
        <w:jc w:val="center"/>
        <w:rPr>
          <w:kern w:val="2"/>
          <w:sz w:val="32"/>
          <w:szCs w:val="32"/>
          <w:lang w:eastAsia="ar-SA"/>
        </w:rPr>
      </w:pPr>
      <w:r w:rsidRPr="00B27CF5">
        <w:rPr>
          <w:b/>
          <w:bCs/>
          <w:sz w:val="32"/>
          <w:szCs w:val="32"/>
        </w:rPr>
        <w:t>АДМИНИСТРАЦИЯ НОВОТИТАРОВСКОГО</w:t>
      </w:r>
    </w:p>
    <w:p w:rsidR="00F74166" w:rsidRPr="00B27CF5" w:rsidRDefault="00AA64B4" w:rsidP="00F74166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B27CF5">
        <w:rPr>
          <w:b/>
          <w:bCs/>
          <w:sz w:val="32"/>
          <w:szCs w:val="32"/>
        </w:rPr>
        <w:t>СЕЛЬСКОГО ПОСЕЛЕНИЯ ДИНСКОГО РАЙОНА</w:t>
      </w:r>
    </w:p>
    <w:p w:rsidR="00F74166" w:rsidRPr="00B27CF5" w:rsidRDefault="00F74166" w:rsidP="00F74166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F74166" w:rsidRPr="00B27CF5" w:rsidRDefault="00AA64B4" w:rsidP="00F74166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B27CF5">
        <w:rPr>
          <w:b/>
          <w:bCs/>
          <w:sz w:val="32"/>
          <w:szCs w:val="32"/>
        </w:rPr>
        <w:t>ПОСТАНОВЛЕНИЕ</w:t>
      </w:r>
    </w:p>
    <w:p w:rsidR="00F74166" w:rsidRDefault="00AA64B4" w:rsidP="00F74166">
      <w:pPr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08.11.2022                            </w:t>
      </w:r>
      <w:r w:rsidR="00B27C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№ 936 </w:t>
      </w:r>
    </w:p>
    <w:p w:rsidR="00F74166" w:rsidRDefault="00B27CF5" w:rsidP="00B27CF5">
      <w:pPr>
        <w:ind w:right="27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AA64B4">
        <w:rPr>
          <w:sz w:val="28"/>
          <w:szCs w:val="28"/>
        </w:rPr>
        <w:t>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AA64B4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AA64B4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</w:t>
      </w:r>
      <w:r>
        <w:rPr>
          <w:color w:val="000000"/>
          <w:sz w:val="28"/>
          <w:szCs w:val="28"/>
        </w:rPr>
        <w:t xml:space="preserve">ого поселения </w:t>
      </w:r>
    </w:p>
    <w:p w:rsidR="00AC37D7" w:rsidRDefault="00AA64B4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AA64B4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</w:t>
      </w:r>
      <w:r>
        <w:rPr>
          <w:color w:val="000000"/>
          <w:sz w:val="28"/>
          <w:szCs w:val="28"/>
        </w:rPr>
        <w:t>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AA64B4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D20B6D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Финансово-</w:t>
      </w:r>
      <w:r w:rsidR="00AA64B4">
        <w:rPr>
          <w:sz w:val="28"/>
          <w:szCs w:val="28"/>
        </w:rPr>
        <w:t xml:space="preserve">экономическому </w:t>
      </w:r>
      <w:r w:rsidR="00AA64B4">
        <w:rPr>
          <w:sz w:val="28"/>
          <w:szCs w:val="28"/>
        </w:rPr>
        <w:t>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 w:rsidR="00AA64B4"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</w:t>
      </w:r>
      <w:r w:rsidR="00AA64B4">
        <w:rPr>
          <w:sz w:val="28"/>
          <w:szCs w:val="28"/>
        </w:rPr>
        <w:t>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 w:rsidR="00AA64B4">
        <w:rPr>
          <w:sz w:val="28"/>
          <w:szCs w:val="28"/>
        </w:rPr>
        <w:t xml:space="preserve"> год.</w:t>
      </w:r>
    </w:p>
    <w:p w:rsidR="00AC37D7" w:rsidRDefault="00AA64B4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AA64B4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AA64B4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выполнением настоящего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5400A3" w:rsidRDefault="00544020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64B4"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 w:rsidR="00AA64B4"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9F7A6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 w:rsidSect="00B27CF5">
          <w:pgSz w:w="11906" w:h="16838"/>
          <w:pgMar w:top="709" w:right="680" w:bottom="113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 </w:t>
      </w:r>
      <w:r w:rsidR="00AA64B4"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 w:rsidR="00AA64B4"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 w:rsidR="00AA64B4"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5400A3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AA64B4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AA64B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 w:rsidRDefault="00AA64B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7A0862">
        <w:rPr>
          <w:kern w:val="0"/>
          <w:sz w:val="28"/>
          <w:szCs w:val="28"/>
          <w:lang w:eastAsia="ar-SA"/>
        </w:rPr>
        <w:t>08.11.2022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7A0862">
        <w:rPr>
          <w:kern w:val="0"/>
          <w:sz w:val="28"/>
          <w:szCs w:val="28"/>
          <w:lang w:eastAsia="ar-SA"/>
        </w:rPr>
        <w:t>936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AA64B4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AA64B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муниципального образов</w:t>
      </w:r>
      <w:r w:rsidRPr="003F2BF8">
        <w:rPr>
          <w:kern w:val="0"/>
          <w:sz w:val="28"/>
          <w:szCs w:val="28"/>
          <w:lang w:eastAsia="ar-SA"/>
        </w:rPr>
        <w:t xml:space="preserve">ания Новотитаровское сельское поселение </w:t>
      </w:r>
    </w:p>
    <w:p w:rsidR="009E4034" w:rsidRPr="003F2BF8" w:rsidRDefault="00AA64B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24"/>
      </w:tblGrid>
      <w:tr w:rsidR="00517031" w:rsidTr="00853A26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517031" w:rsidTr="00853A26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517031" w:rsidTr="00853A26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43800,05890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B927F1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17767,08756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AA64B4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R="00517031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6053,97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6767,08756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517031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санитарного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R="00517031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Сбор и утилизация биоотходов,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Повышение 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бюджет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поселени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17031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R="00517031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поддержание сани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благоустройства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7,167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64762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</w:t>
            </w:r>
            <w:r w:rsidR="00AA64B4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35,5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13950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B927F1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131</w:t>
            </w:r>
            <w:r w:rsidR="00AA64B4"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Оплата за электроэнергию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="00AA64B4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0A4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Обслуживание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F2B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0A4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</w:t>
            </w:r>
            <w:r w:rsidR="00AA64B4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="00AA64B4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517031" w:rsidTr="00853A2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517031" w:rsidTr="00853A26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территориального общественного самоуправления»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17031" w:rsidTr="00853A26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AA64B4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8219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58201,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86E8A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30867,08756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A64B4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AA64B4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Начальник отдела ЖКХ, транспорта, </w:t>
      </w:r>
    </w:p>
    <w:p w:rsidR="002B6881" w:rsidRPr="003F2BF8" w:rsidRDefault="00AA64B4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М.М. Бондарь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3F2B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B4" w:rsidRDefault="00AA64B4">
      <w:r>
        <w:separator/>
      </w:r>
    </w:p>
  </w:endnote>
  <w:endnote w:type="continuationSeparator" w:id="0">
    <w:p w:rsidR="00AA64B4" w:rsidRDefault="00AA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B4" w:rsidRDefault="00AA64B4">
      <w:r>
        <w:separator/>
      </w:r>
    </w:p>
  </w:footnote>
  <w:footnote w:type="continuationSeparator" w:id="0">
    <w:p w:rsidR="00AA64B4" w:rsidRDefault="00AA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>
    <w:pPr>
      <w:pStyle w:val="ac"/>
      <w:jc w:val="center"/>
    </w:pPr>
  </w:p>
  <w:p w:rsidR="009E4034" w:rsidRDefault="009E4034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67A19"/>
    <w:rsid w:val="00071E66"/>
    <w:rsid w:val="00092B9E"/>
    <w:rsid w:val="000A4DA4"/>
    <w:rsid w:val="000C4EDA"/>
    <w:rsid w:val="00105A83"/>
    <w:rsid w:val="001F5980"/>
    <w:rsid w:val="00224D28"/>
    <w:rsid w:val="002717B3"/>
    <w:rsid w:val="00291895"/>
    <w:rsid w:val="002B4AD2"/>
    <w:rsid w:val="002B6881"/>
    <w:rsid w:val="002E232F"/>
    <w:rsid w:val="002F597E"/>
    <w:rsid w:val="00375BC0"/>
    <w:rsid w:val="003848D7"/>
    <w:rsid w:val="0039393C"/>
    <w:rsid w:val="003F2BF8"/>
    <w:rsid w:val="00407A41"/>
    <w:rsid w:val="00411B59"/>
    <w:rsid w:val="00464D2E"/>
    <w:rsid w:val="00483D9C"/>
    <w:rsid w:val="00517031"/>
    <w:rsid w:val="00534272"/>
    <w:rsid w:val="005400A3"/>
    <w:rsid w:val="00544020"/>
    <w:rsid w:val="00547781"/>
    <w:rsid w:val="005E30B5"/>
    <w:rsid w:val="005F7F3F"/>
    <w:rsid w:val="00667E87"/>
    <w:rsid w:val="00676DEA"/>
    <w:rsid w:val="006805B0"/>
    <w:rsid w:val="00693A87"/>
    <w:rsid w:val="00713F32"/>
    <w:rsid w:val="00786E8A"/>
    <w:rsid w:val="007A0862"/>
    <w:rsid w:val="007D35F3"/>
    <w:rsid w:val="00843F6C"/>
    <w:rsid w:val="00853A26"/>
    <w:rsid w:val="008579DF"/>
    <w:rsid w:val="008E7003"/>
    <w:rsid w:val="00955BFF"/>
    <w:rsid w:val="009A2991"/>
    <w:rsid w:val="009E4034"/>
    <w:rsid w:val="009F7A61"/>
    <w:rsid w:val="00A26AE8"/>
    <w:rsid w:val="00A369B3"/>
    <w:rsid w:val="00A64762"/>
    <w:rsid w:val="00AA64B4"/>
    <w:rsid w:val="00AC37D7"/>
    <w:rsid w:val="00AC5EF1"/>
    <w:rsid w:val="00AF71C1"/>
    <w:rsid w:val="00B07783"/>
    <w:rsid w:val="00B26310"/>
    <w:rsid w:val="00B27CF5"/>
    <w:rsid w:val="00B537F2"/>
    <w:rsid w:val="00B904A3"/>
    <w:rsid w:val="00B927F1"/>
    <w:rsid w:val="00C14B65"/>
    <w:rsid w:val="00C40597"/>
    <w:rsid w:val="00C60F93"/>
    <w:rsid w:val="00C8219B"/>
    <w:rsid w:val="00C87419"/>
    <w:rsid w:val="00CD1390"/>
    <w:rsid w:val="00D027DF"/>
    <w:rsid w:val="00D20B6D"/>
    <w:rsid w:val="00D44BE3"/>
    <w:rsid w:val="00D605EB"/>
    <w:rsid w:val="00D8058A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166"/>
    <w:rsid w:val="00F7488F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2022-11-07T08:59:00Z</cp:lastPrinted>
  <dcterms:created xsi:type="dcterms:W3CDTF">2022-11-23T11:50:00Z</dcterms:created>
  <dcterms:modified xsi:type="dcterms:W3CDTF">2022-11-23T11:50:00Z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